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396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DARA AYUNDA CAHYANI,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199502182023212010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Februari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Tambakboyo 01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